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7BE3" w14:textId="25961C91" w:rsidR="001A2741" w:rsidRDefault="00097B59">
      <w:r>
        <w:t>B”SD</w:t>
      </w:r>
    </w:p>
    <w:p w14:paraId="3EA6E70F"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lang w:val="fr-FR"/>
        </w:rPr>
        <w:t>Jesse Krakauer MD, FACP</w:t>
      </w:r>
    </w:p>
    <w:p w14:paraId="23FAFDB2"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lang w:val="fr-FR"/>
        </w:rPr>
        <w:t>248-795-0462  </w:t>
      </w:r>
      <w:hyperlink r:id="rId5" w:tgtFrame="_blank" w:history="1">
        <w:r w:rsidRPr="008726C0">
          <w:rPr>
            <w:rStyle w:val="Hyperlink"/>
            <w:rFonts w:ascii="Arial" w:hAnsi="Arial" w:cs="Arial"/>
            <w:b/>
            <w:bCs/>
            <w:color w:val="auto"/>
            <w:sz w:val="24"/>
            <w:szCs w:val="24"/>
            <w:u w:val="none"/>
            <w:lang w:val="fr-FR"/>
          </w:rPr>
          <w:t>jckrakauer@gmail.com</w:t>
        </w:r>
      </w:hyperlink>
    </w:p>
    <w:p w14:paraId="6EE367EF" w14:textId="77777777" w:rsidR="008726C0" w:rsidRPr="008726C0" w:rsidRDefault="008726C0" w:rsidP="008726C0">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 xml:space="preserve">Corewell Health Wm Beaumont University Hospital </w:t>
      </w:r>
    </w:p>
    <w:p w14:paraId="25172699" w14:textId="77777777" w:rsidR="008726C0" w:rsidRPr="008726C0" w:rsidRDefault="008726C0" w:rsidP="008726C0">
      <w:pPr>
        <w:pStyle w:val="Heading"/>
        <w:numPr>
          <w:ilvl w:val="0"/>
          <w:numId w:val="2"/>
        </w:numPr>
        <w:spacing w:before="0" w:after="0" w:line="240" w:lineRule="auto"/>
        <w:jc w:val="right"/>
        <w:rPr>
          <w:rFonts w:ascii="Arial" w:eastAsia="Times New Roman" w:hAnsi="Arial" w:cs="Arial"/>
          <w:b/>
          <w:bCs/>
          <w:kern w:val="0"/>
          <w:sz w:val="24"/>
          <w:szCs w:val="24"/>
          <w:lang w:eastAsia="en-US"/>
        </w:rPr>
      </w:pPr>
      <w:r w:rsidRPr="008726C0">
        <w:rPr>
          <w:rFonts w:ascii="Arial" w:eastAsia="Times New Roman" w:hAnsi="Arial" w:cs="Arial"/>
          <w:b/>
          <w:bCs/>
          <w:kern w:val="0"/>
          <w:sz w:val="24"/>
          <w:szCs w:val="24"/>
          <w:lang w:eastAsia="en-US"/>
        </w:rPr>
        <w:t>Royal Oak, MI 48073</w:t>
      </w:r>
    </w:p>
    <w:p w14:paraId="04308F48"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rPr>
        <w:t>Nir Y Krakauer, PhD</w:t>
      </w:r>
    </w:p>
    <w:p w14:paraId="55F56C83"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rPr>
        <w:t>Department of Civil Engineering</w:t>
      </w:r>
    </w:p>
    <w:p w14:paraId="4350AFA3"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rPr>
        <w:t>The City College of New York</w:t>
      </w:r>
    </w:p>
    <w:p w14:paraId="096ED616" w14:textId="77777777" w:rsidR="008726C0" w:rsidRPr="008726C0" w:rsidRDefault="008726C0" w:rsidP="008726C0">
      <w:pPr>
        <w:spacing w:after="0" w:line="240" w:lineRule="auto"/>
        <w:jc w:val="right"/>
        <w:rPr>
          <w:rFonts w:ascii="Arial" w:hAnsi="Arial" w:cs="Arial"/>
          <w:b/>
          <w:bCs/>
          <w:sz w:val="24"/>
          <w:szCs w:val="24"/>
        </w:rPr>
      </w:pPr>
      <w:r w:rsidRPr="008726C0">
        <w:rPr>
          <w:rFonts w:ascii="Arial" w:hAnsi="Arial" w:cs="Arial"/>
          <w:b/>
          <w:bCs/>
          <w:sz w:val="24"/>
          <w:szCs w:val="24"/>
        </w:rPr>
        <w:t>New York, NY 10031</w:t>
      </w:r>
    </w:p>
    <w:p w14:paraId="7C17C39C" w14:textId="77777777" w:rsidR="008726C0" w:rsidRPr="008726C0" w:rsidRDefault="008726C0" w:rsidP="008726C0">
      <w:pPr>
        <w:spacing w:after="0" w:line="240" w:lineRule="auto"/>
        <w:jc w:val="right"/>
        <w:rPr>
          <w:rFonts w:ascii="Arial" w:hAnsi="Arial" w:cs="Arial"/>
          <w:b/>
          <w:bCs/>
          <w:sz w:val="24"/>
          <w:szCs w:val="24"/>
        </w:rPr>
      </w:pPr>
      <w:hyperlink r:id="rId6" w:history="1">
        <w:r w:rsidRPr="008726C0">
          <w:rPr>
            <w:rStyle w:val="Hyperlink"/>
            <w:rFonts w:ascii="Arial" w:hAnsi="Arial" w:cs="Arial"/>
            <w:b/>
            <w:bCs/>
            <w:color w:val="auto"/>
            <w:sz w:val="24"/>
            <w:szCs w:val="24"/>
            <w:u w:val="none"/>
          </w:rPr>
          <w:t>nkrakauer@ccny.cuny.edu</w:t>
        </w:r>
      </w:hyperlink>
    </w:p>
    <w:p w14:paraId="5F93EE5B" w14:textId="77777777" w:rsidR="00054645" w:rsidRPr="006D3B83" w:rsidRDefault="00054645" w:rsidP="00054645">
      <w:pPr>
        <w:jc w:val="right"/>
        <w:rPr>
          <w:rFonts w:ascii="Arial" w:hAnsi="Arial" w:cs="Arial"/>
          <w:b/>
          <w:bCs/>
          <w:color w:val="444444"/>
        </w:rPr>
      </w:pPr>
      <w:r>
        <w:rPr>
          <w:rFonts w:ascii="Arial" w:hAnsi="Arial" w:cs="Arial"/>
          <w:b/>
          <w:bCs/>
        </w:rPr>
        <w:t>4/1/25</w:t>
      </w:r>
    </w:p>
    <w:p w14:paraId="3880C233" w14:textId="77777777" w:rsidR="008726C0" w:rsidRDefault="008726C0" w:rsidP="008D2D42">
      <w:pPr>
        <w:jc w:val="center"/>
        <w:rPr>
          <w:rFonts w:ascii="Arial" w:hAnsi="Arial" w:cs="Arial"/>
          <w:b/>
          <w:bCs/>
          <w:sz w:val="28"/>
          <w:szCs w:val="28"/>
        </w:rPr>
      </w:pPr>
    </w:p>
    <w:p w14:paraId="568BDAEC" w14:textId="0A63FA2A" w:rsidR="008D2D42" w:rsidRPr="008D2D42" w:rsidRDefault="008D2D42" w:rsidP="008D2D42">
      <w:pPr>
        <w:jc w:val="center"/>
        <w:rPr>
          <w:rFonts w:ascii="Arial" w:hAnsi="Arial" w:cs="Arial"/>
          <w:b/>
          <w:bCs/>
          <w:sz w:val="28"/>
          <w:szCs w:val="28"/>
        </w:rPr>
      </w:pPr>
      <w:r w:rsidRPr="008D2D42">
        <w:rPr>
          <w:rFonts w:ascii="Arial" w:hAnsi="Arial" w:cs="Arial"/>
          <w:b/>
          <w:bCs/>
          <w:sz w:val="28"/>
          <w:szCs w:val="28"/>
        </w:rPr>
        <w:t xml:space="preserve">ABSI and </w:t>
      </w:r>
      <w:r w:rsidR="007157A8">
        <w:rPr>
          <w:rFonts w:ascii="Arial" w:hAnsi="Arial" w:cs="Arial"/>
          <w:b/>
          <w:bCs/>
          <w:sz w:val="28"/>
          <w:szCs w:val="28"/>
        </w:rPr>
        <w:t>Peds</w:t>
      </w:r>
    </w:p>
    <w:p w14:paraId="163CC819" w14:textId="77777777" w:rsidR="008D2D42" w:rsidRDefault="008D2D42" w:rsidP="008D2D42">
      <w:pPr>
        <w:rPr>
          <w:rFonts w:ascii="Arial" w:eastAsia="SimSun-ExtB" w:hAnsi="Arial" w:cs="Arial"/>
          <w:b/>
          <w:bCs/>
        </w:rPr>
      </w:pPr>
    </w:p>
    <w:p w14:paraId="34D532C3" w14:textId="62085550" w:rsidR="008D2D42" w:rsidRPr="002B2B4C" w:rsidRDefault="008D2D42" w:rsidP="000C4093">
      <w:pPr>
        <w:shd w:val="clear" w:color="auto" w:fill="FFFFFF"/>
        <w:spacing w:after="0"/>
        <w:rPr>
          <w:rFonts w:ascii="Arial" w:hAnsi="Arial" w:cs="Arial"/>
        </w:rPr>
      </w:pPr>
      <w:bookmarkStart w:id="0" w:name="_Hlk154980377"/>
      <w:r w:rsidRPr="002B2B4C">
        <w:rPr>
          <w:rFonts w:ascii="Arial" w:hAnsi="Arial" w:cs="Arial"/>
          <w:b/>
          <w:bCs/>
        </w:rPr>
        <w:t>ABSI references: </w:t>
      </w:r>
      <w:hyperlink r:id="rId7" w:history="1">
        <w:r w:rsidRPr="002B2B4C">
          <w:rPr>
            <w:rStyle w:val="Hyperlink"/>
            <w:rFonts w:ascii="Arial" w:hAnsi="Arial" w:cs="Arial"/>
            <w:b/>
            <w:bCs/>
          </w:rPr>
          <w:t>https://drjessekrakauer.com/absi.html</w:t>
        </w:r>
      </w:hyperlink>
    </w:p>
    <w:p w14:paraId="720927D9" w14:textId="77777777" w:rsidR="008D2D42" w:rsidRPr="002B2B4C" w:rsidRDefault="008D2D42" w:rsidP="000C4093">
      <w:pPr>
        <w:shd w:val="clear" w:color="auto" w:fill="FFFFFF"/>
        <w:spacing w:after="0"/>
        <w:ind w:left="360"/>
        <w:rPr>
          <w:rFonts w:ascii="Arial" w:hAnsi="Arial" w:cs="Arial"/>
        </w:rPr>
      </w:pPr>
      <w:r w:rsidRPr="002B2B4C">
        <w:rPr>
          <w:rFonts w:ascii="Arial" w:hAnsi="Arial" w:cs="Arial"/>
          <w:b/>
          <w:bCs/>
        </w:rPr>
        <w:t>https://en.wikipedia.org/wiki/Body_shape_index</w:t>
      </w:r>
    </w:p>
    <w:p w14:paraId="644A94D5" w14:textId="77777777" w:rsidR="008D2D42" w:rsidRPr="002B2B4C" w:rsidRDefault="008D2D42" w:rsidP="008D2D42">
      <w:pPr>
        <w:shd w:val="clear" w:color="auto" w:fill="FFFFFF"/>
        <w:spacing w:line="360" w:lineRule="atLeast"/>
        <w:rPr>
          <w:rFonts w:ascii="Arial" w:hAnsi="Arial" w:cs="Arial"/>
        </w:rPr>
      </w:pPr>
      <w:r w:rsidRPr="002B2B4C">
        <w:rPr>
          <w:rStyle w:val="gmail-msohyperlink"/>
          <w:rFonts w:ascii="Arial" w:hAnsi="Arial" w:cs="Arial"/>
          <w:b/>
          <w:bCs/>
        </w:rPr>
        <w:t> </w:t>
      </w:r>
      <w:r w:rsidRPr="002B2B4C">
        <w:rPr>
          <w:rFonts w:ascii="Arial" w:hAnsi="Arial" w:cs="Arial"/>
          <w:b/>
          <w:bCs/>
        </w:rPr>
        <w:t>ABSI </w:t>
      </w:r>
      <w:r w:rsidRPr="002B2B4C">
        <w:rPr>
          <w:rFonts w:ascii="Arial" w:hAnsi="Arial" w:cs="Arial"/>
          <w:b/>
          <w:bCs/>
          <w:u w:val="single"/>
        </w:rPr>
        <w:t>=</w:t>
      </w:r>
      <w:r w:rsidRPr="002B2B4C">
        <w:rPr>
          <w:rFonts w:ascii="Arial" w:hAnsi="Arial" w:cs="Arial"/>
          <w:b/>
          <w:bCs/>
        </w:rPr>
        <w:t> WC weight</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5/6</w:t>
      </w:r>
      <w:r w:rsidRPr="002B2B4C">
        <w:rPr>
          <w:rFonts w:ascii="Arial" w:hAnsi="Arial" w:cs="Arial"/>
          <w:b/>
          <w:bCs/>
        </w:rPr>
        <w:t> = WC/(BMI</w:t>
      </w:r>
      <w:r w:rsidRPr="002B2B4C">
        <w:rPr>
          <w:rFonts w:ascii="Arial" w:hAnsi="Arial" w:cs="Arial"/>
          <w:b/>
          <w:bCs/>
          <w:vertAlign w:val="superscript"/>
        </w:rPr>
        <w:t>2/3</w:t>
      </w:r>
      <w:r w:rsidRPr="002B2B4C">
        <w:rPr>
          <w:rFonts w:ascii="Arial" w:hAnsi="Arial" w:cs="Arial"/>
          <w:b/>
          <w:bCs/>
        </w:rPr>
        <w:t>height</w:t>
      </w:r>
      <w:r w:rsidRPr="002B2B4C">
        <w:rPr>
          <w:rFonts w:ascii="Arial" w:hAnsi="Arial" w:cs="Arial"/>
          <w:b/>
          <w:bCs/>
          <w:vertAlign w:val="superscript"/>
        </w:rPr>
        <w:t>1/2</w:t>
      </w:r>
      <w:r w:rsidRPr="002B2B4C">
        <w:rPr>
          <w:rFonts w:ascii="Arial" w:hAnsi="Arial" w:cs="Arial"/>
          <w:b/>
          <w:bCs/>
        </w:rPr>
        <w:t>)</w:t>
      </w:r>
    </w:p>
    <w:bookmarkEnd w:id="0"/>
    <w:p w14:paraId="1674B47C" w14:textId="77777777" w:rsidR="008D2D42" w:rsidRDefault="008D2D42"/>
    <w:p w14:paraId="02C48666" w14:textId="77777777" w:rsidR="002E5849" w:rsidRDefault="002E5849" w:rsidP="002E5849">
      <w:pPr>
        <w:rPr>
          <w:rFonts w:ascii="Arial" w:hAnsi="Arial" w:cs="Arial"/>
          <w:b/>
          <w:bCs/>
          <w:color w:val="212121"/>
          <w:sz w:val="23"/>
          <w:szCs w:val="23"/>
          <w:shd w:val="clear" w:color="auto" w:fill="FFFFFF"/>
        </w:rPr>
      </w:pPr>
      <w:r w:rsidRPr="002D1ED2">
        <w:rPr>
          <w:rFonts w:ascii="Arial" w:hAnsi="Arial" w:cs="Arial"/>
          <w:b/>
          <w:bCs/>
          <w:color w:val="212121"/>
          <w:sz w:val="23"/>
          <w:szCs w:val="23"/>
          <w:shd w:val="clear" w:color="auto" w:fill="FFFFFF"/>
        </w:rPr>
        <w:t>Duncan MJ, Mota J, Vale S, Santos MP, Ribeiro JC. Associations between body mass index, waist circumference and body shape index with resting blood pressure in Portuguese adolescents. Ann Hum Biol. 2013 Mar;40(2):163-7. doi: 10.3109/03014460.2012.752861. Epub 2013 Jan 18. PMID: 23327095.</w:t>
      </w:r>
    </w:p>
    <w:p w14:paraId="21C5DBAF" w14:textId="77777777" w:rsidR="00EF0607" w:rsidRDefault="00EF0607" w:rsidP="00EF0607">
      <w:pPr>
        <w:pBdr>
          <w:top w:val="nil"/>
          <w:left w:val="nil"/>
          <w:bottom w:val="nil"/>
          <w:right w:val="nil"/>
          <w:between w:val="nil"/>
        </w:pBdr>
        <w:shd w:val="solid" w:color="FFFFFF" w:fill="auto"/>
        <w:spacing w:line="348" w:lineRule="atLeast"/>
        <w:rPr>
          <w:rFonts w:ascii="Arial" w:hAnsi="Arial" w:cs="Arial"/>
          <w:b/>
          <w:bCs/>
        </w:rPr>
      </w:pPr>
      <w:r w:rsidRPr="00DB7685">
        <w:rPr>
          <w:rFonts w:ascii="Arial" w:hAnsi="Arial" w:cs="Arial"/>
          <w:b/>
          <w:bCs/>
          <w:color w:val="212121"/>
          <w:shd w:val="clear" w:color="auto" w:fill="FFFFFF"/>
        </w:rPr>
        <w:t>Xu Y, Yan W, Cheung YB. Body shape indices and cardiometabolic risk in adolescents. Ann Hum Biol. 2015 Jan;42(1):70-5. doi: 10.3109/03014460.2014.903998. Epub 2014 Apr 15. PMID: 24734976.</w:t>
      </w:r>
      <w:r w:rsidRPr="00DB7685">
        <w:rPr>
          <w:rFonts w:ascii="Arial" w:hAnsi="Arial" w:cs="Arial"/>
          <w:b/>
          <w:bCs/>
        </w:rPr>
        <w:t>.</w:t>
      </w:r>
      <w:r>
        <w:rPr>
          <w:rFonts w:ascii="Arial" w:hAnsi="Arial" w:cs="Arial"/>
          <w:b/>
          <w:bCs/>
        </w:rPr>
        <w:t xml:space="preserve"> (corr with A1c)</w:t>
      </w:r>
    </w:p>
    <w:p w14:paraId="6D97C50C" w14:textId="77777777" w:rsidR="00AE67F4" w:rsidRPr="000F3C27" w:rsidRDefault="00AE67F4" w:rsidP="00AE67F4">
      <w:pPr>
        <w:pBdr>
          <w:top w:val="nil"/>
          <w:left w:val="nil"/>
          <w:bottom w:val="nil"/>
          <w:right w:val="nil"/>
          <w:between w:val="nil"/>
        </w:pBdr>
        <w:shd w:val="clear" w:color="auto" w:fill="FFFFFF"/>
        <w:spacing w:beforeAutospacing="1" w:after="0" w:afterAutospacing="1" w:line="270" w:lineRule="atLeast"/>
        <w:textAlignment w:val="baseline"/>
        <w:rPr>
          <w:rFonts w:ascii="Arial" w:hAnsi="Arial" w:cs="Arial"/>
          <w:b/>
          <w:bCs/>
          <w:color w:val="212121"/>
          <w:sz w:val="24"/>
          <w:szCs w:val="24"/>
          <w:shd w:val="clear" w:color="auto" w:fill="FFFFFF"/>
        </w:rPr>
      </w:pPr>
      <w:r w:rsidRPr="000F3C27">
        <w:rPr>
          <w:rFonts w:ascii="Arial" w:hAnsi="Arial" w:cs="Arial"/>
          <w:b/>
          <w:bCs/>
          <w:color w:val="212121"/>
          <w:sz w:val="24"/>
          <w:szCs w:val="24"/>
          <w:shd w:val="clear" w:color="auto" w:fill="FFFFFF"/>
        </w:rPr>
        <w:t>Lek N, Yan W, Zhang Y, Wang Q, Cheung YB. Indices of central and general obesity and cardiometabolic risk among adolescents in three ethnic groups in north-west China. Ann Hum Biol. 2016;43(1):18-24. doi: 10.3109/03014460.2015.1014418. Epub 2015 Oct 2. PMID: 26431471.</w:t>
      </w:r>
    </w:p>
    <w:p w14:paraId="0CD99549" w14:textId="77777777" w:rsidR="00AE67F4" w:rsidRDefault="00AE67F4" w:rsidP="00AE67F4">
      <w:pPr>
        <w:pStyle w:val="Heading1"/>
        <w:shd w:val="clear" w:color="auto" w:fill="FFFFFF"/>
        <w:textAlignment w:val="baseline"/>
        <w:rPr>
          <w:rFonts w:ascii="Arial" w:hAnsi="Arial" w:cs="Arial"/>
          <w:color w:val="212121"/>
          <w:sz w:val="24"/>
          <w:szCs w:val="24"/>
          <w:shd w:val="clear" w:color="auto" w:fill="FFFFFF"/>
        </w:rPr>
      </w:pPr>
      <w:r w:rsidRPr="0017355B">
        <w:rPr>
          <w:rFonts w:ascii="Arial" w:hAnsi="Arial" w:cs="Arial"/>
          <w:color w:val="212121"/>
          <w:sz w:val="24"/>
          <w:szCs w:val="24"/>
          <w:shd w:val="clear" w:color="auto" w:fill="FFFFFF"/>
        </w:rPr>
        <w:t>Kwak BO, Lim J, Chung S. Body Shape Indices in Adolescents Based on the 2009-2012 Korea National Health and Nutrition Examination Survey. Children (Basel). 2021 Oct 7;8(10):894. doi: 10.3390/children8100894. PMID: 34682159; PMCID: PMC8534381.</w:t>
      </w:r>
    </w:p>
    <w:p w14:paraId="6EED588D" w14:textId="77777777" w:rsidR="00A302FE" w:rsidRDefault="00A302FE" w:rsidP="00A302FE">
      <w:pPr>
        <w:pStyle w:val="PlainText"/>
        <w:pBdr>
          <w:top w:val="nil"/>
          <w:left w:val="nil"/>
          <w:bottom w:val="nil"/>
          <w:right w:val="nil"/>
          <w:between w:val="nil"/>
        </w:pBdr>
        <w:shd w:val="solid" w:color="FFFFFF" w:fill="auto"/>
        <w:spacing w:beforeAutospacing="1" w:afterAutospacing="1" w:line="270" w:lineRule="atLeast"/>
        <w:rPr>
          <w:rFonts w:ascii="Arial" w:hAnsi="Arial" w:cs="Arial"/>
          <w:b/>
          <w:bCs/>
          <w:sz w:val="24"/>
          <w:szCs w:val="24"/>
        </w:rPr>
      </w:pPr>
      <w:r w:rsidRPr="00164A6B">
        <w:rPr>
          <w:rFonts w:ascii="Arial" w:hAnsi="Arial" w:cs="Arial"/>
          <w:b/>
          <w:bCs/>
          <w:sz w:val="24"/>
          <w:szCs w:val="24"/>
        </w:rPr>
        <w:t>Mona El-Awady, Neveen Abed, A Body Shape Index Versus Body Mass Index in the Assessment of Nutritional Status Among Egyptian Primary School Children Infected with Intestinal Helminthiasis, </w:t>
      </w:r>
      <w:r w:rsidRPr="00164A6B">
        <w:rPr>
          <w:rFonts w:ascii="Arial" w:hAnsi="Arial" w:cs="Arial"/>
          <w:b/>
          <w:bCs/>
          <w:i/>
          <w:iCs/>
          <w:sz w:val="24"/>
          <w:szCs w:val="24"/>
        </w:rPr>
        <w:t>Science Journal of Public Health</w:t>
      </w:r>
      <w:r w:rsidRPr="00164A6B">
        <w:rPr>
          <w:rFonts w:ascii="Arial" w:hAnsi="Arial" w:cs="Arial"/>
          <w:b/>
          <w:bCs/>
          <w:sz w:val="24"/>
          <w:szCs w:val="24"/>
        </w:rPr>
        <w:t>. Special Issue:Malnutrition in Developing Countries. Vol. 5, No. 5-1, 2017, pp. 13-18. doi: 10.11648/j.sjph.s.2017050501.13</w:t>
      </w:r>
    </w:p>
    <w:p w14:paraId="3EAC3155" w14:textId="77777777" w:rsidR="00A302FE" w:rsidRPr="0017355B" w:rsidRDefault="00A302FE" w:rsidP="00AE67F4">
      <w:pPr>
        <w:pStyle w:val="Heading1"/>
        <w:shd w:val="clear" w:color="auto" w:fill="FFFFFF"/>
        <w:textAlignment w:val="baseline"/>
        <w:rPr>
          <w:rFonts w:ascii="Arial" w:hAnsi="Arial" w:cs="Arial"/>
          <w:color w:val="212121"/>
          <w:sz w:val="24"/>
          <w:szCs w:val="24"/>
          <w:shd w:val="clear" w:color="auto" w:fill="FFFFFF"/>
        </w:rPr>
      </w:pPr>
    </w:p>
    <w:p w14:paraId="1240D422" w14:textId="77777777" w:rsidR="00AE67F4" w:rsidRPr="0017355B" w:rsidRDefault="00AE67F4" w:rsidP="00AE67F4">
      <w:pPr>
        <w:pStyle w:val="Heading1"/>
        <w:shd w:val="clear" w:color="auto" w:fill="FFFFFF"/>
        <w:textAlignment w:val="baseline"/>
        <w:rPr>
          <w:rFonts w:ascii="Arial" w:hAnsi="Arial" w:cs="Arial"/>
          <w:color w:val="333333"/>
          <w:sz w:val="24"/>
          <w:szCs w:val="24"/>
          <w:shd w:val="clear" w:color="auto" w:fill="FCFCFC"/>
        </w:rPr>
      </w:pPr>
      <w:r w:rsidRPr="0017355B">
        <w:rPr>
          <w:rFonts w:ascii="Arial" w:hAnsi="Arial" w:cs="Arial"/>
          <w:color w:val="333333"/>
          <w:sz w:val="24"/>
          <w:szCs w:val="24"/>
          <w:shd w:val="clear" w:color="auto" w:fill="FCFCFC"/>
        </w:rPr>
        <w:t>Kasaeian, A., Hemati, Z., Heshmat, R. </w:t>
      </w:r>
      <w:r w:rsidRPr="0017355B">
        <w:rPr>
          <w:rFonts w:ascii="Arial" w:hAnsi="Arial" w:cs="Arial"/>
          <w:i/>
          <w:iCs/>
          <w:color w:val="333333"/>
          <w:sz w:val="24"/>
          <w:szCs w:val="24"/>
          <w:shd w:val="clear" w:color="auto" w:fill="FCFCFC"/>
        </w:rPr>
        <w:t>et al.</w:t>
      </w:r>
      <w:r w:rsidRPr="0017355B">
        <w:rPr>
          <w:rFonts w:ascii="Arial" w:hAnsi="Arial" w:cs="Arial"/>
          <w:color w:val="333333"/>
          <w:sz w:val="24"/>
          <w:szCs w:val="24"/>
          <w:shd w:val="clear" w:color="auto" w:fill="FCFCFC"/>
        </w:rPr>
        <w:t> Association of a body shape index and hip index with cardiometabolic risk factors in children and adolescents: the CASPIAN-V study. </w:t>
      </w:r>
      <w:r w:rsidRPr="0017355B">
        <w:rPr>
          <w:rFonts w:ascii="Arial" w:hAnsi="Arial" w:cs="Arial"/>
          <w:i/>
          <w:iCs/>
          <w:color w:val="333333"/>
          <w:sz w:val="24"/>
          <w:szCs w:val="24"/>
          <w:shd w:val="clear" w:color="auto" w:fill="FCFCFC"/>
        </w:rPr>
        <w:t>J Diabetes Metab Disord</w:t>
      </w:r>
      <w:r w:rsidRPr="0017355B">
        <w:rPr>
          <w:rFonts w:ascii="Arial" w:hAnsi="Arial" w:cs="Arial"/>
          <w:color w:val="333333"/>
          <w:sz w:val="24"/>
          <w:szCs w:val="24"/>
          <w:shd w:val="clear" w:color="auto" w:fill="FCFCFC"/>
        </w:rPr>
        <w:t xml:space="preserve"> (2021). </w:t>
      </w:r>
      <w:hyperlink r:id="rId8" w:history="1">
        <w:r w:rsidRPr="0017355B">
          <w:rPr>
            <w:rStyle w:val="Hyperlink"/>
            <w:rFonts w:ascii="Arial" w:hAnsi="Arial" w:cs="Arial"/>
            <w:sz w:val="24"/>
            <w:szCs w:val="24"/>
            <w:shd w:val="clear" w:color="auto" w:fill="FCFCFC"/>
          </w:rPr>
          <w:t>https://doi.org/10.1007/s40200-021-00743-0</w:t>
        </w:r>
      </w:hyperlink>
    </w:p>
    <w:p w14:paraId="7F91B228" w14:textId="77777777" w:rsidR="00097B59" w:rsidRDefault="00097B59" w:rsidP="00097B59">
      <w:pPr>
        <w:rPr>
          <w:rFonts w:ascii="Arial" w:hAnsi="Arial" w:cs="Arial"/>
          <w:b/>
          <w:bCs/>
          <w:color w:val="212121"/>
          <w:shd w:val="clear" w:color="auto" w:fill="FFFFFF"/>
        </w:rPr>
      </w:pPr>
      <w:r w:rsidRPr="00085CB6">
        <w:rPr>
          <w:rFonts w:ascii="Arial" w:hAnsi="Arial" w:cs="Arial"/>
          <w:b/>
          <w:bCs/>
          <w:color w:val="212121"/>
          <w:shd w:val="clear" w:color="auto" w:fill="FFFFFF"/>
        </w:rPr>
        <w:t>Gao H, Zhang Y, Chen LW, Gan H, Lu MJ, Huang B, Tong J, Geng ML, Huang K, Zhang C, Zhu BB, Shao SS, Zhu P, Tao FB. Associating phthalate exposure during pregnancy with preschooler's FMI, ABSI and BRI trajectories via putative mechanism pathways. Chemosphere. 2023 Jun 28:139300. doi: 10.1016/j.chemosphere.2023.139300. Epub ahead of print. PMID: 37391081.</w:t>
      </w:r>
    </w:p>
    <w:p w14:paraId="558038FC" w14:textId="77777777" w:rsidR="0000201C" w:rsidRPr="00E675C5" w:rsidRDefault="0000201C" w:rsidP="0000201C">
      <w:pPr>
        <w:pStyle w:val="Heading1"/>
        <w:shd w:val="clear" w:color="auto" w:fill="FFFFFF"/>
        <w:textAlignment w:val="baseline"/>
        <w:rPr>
          <w:rFonts w:ascii="Arial" w:hAnsi="Arial" w:cs="Arial"/>
          <w:color w:val="212121"/>
          <w:sz w:val="24"/>
          <w:szCs w:val="24"/>
          <w:shd w:val="clear" w:color="auto" w:fill="FFFFFF"/>
        </w:rPr>
      </w:pPr>
      <w:r w:rsidRPr="00E675C5">
        <w:rPr>
          <w:rFonts w:ascii="Arial" w:hAnsi="Arial" w:cs="Arial"/>
          <w:color w:val="212121"/>
          <w:sz w:val="24"/>
          <w:szCs w:val="24"/>
          <w:shd w:val="clear" w:color="auto" w:fill="FFFFFF"/>
        </w:rPr>
        <w:t>Leone A, Vizzuso S, Brambilla P, Mameli C, Ravella S, De Amicis R, Battezzati A, Zuccotti G, Bertoli S, Verduci E. Evaluation of Different Adiposity Indices and Association with Metabolic Syndrome Risk in Obese Children: Is there a Winner? Int J Mol Sci. 2020 Jun 8;21(11):4083. doi: 10.3390/ijms21114083. PMID: 32521608; PMCID: PMC7313019.</w:t>
      </w:r>
    </w:p>
    <w:p w14:paraId="14F30480" w14:textId="77777777" w:rsidR="002E5849" w:rsidRPr="00F87A2C" w:rsidRDefault="002E5849" w:rsidP="002E5849">
      <w:pPr>
        <w:rPr>
          <w:rFonts w:ascii="Arial" w:hAnsi="Arial" w:cs="Arial"/>
          <w:b/>
          <w:bCs/>
          <w:color w:val="212121"/>
          <w:shd w:val="clear" w:color="auto" w:fill="FFFFFF"/>
        </w:rPr>
      </w:pPr>
      <w:r w:rsidRPr="00513B35">
        <w:rPr>
          <w:rFonts w:ascii="Arial" w:hAnsi="Arial" w:cs="Arial"/>
          <w:b/>
          <w:bCs/>
          <w:color w:val="222222"/>
          <w:sz w:val="24"/>
          <w:szCs w:val="24"/>
          <w:shd w:val="clear" w:color="auto" w:fill="FFFFFF"/>
        </w:rPr>
        <w:t xml:space="preserve">Stankute, I.; Dulskiene, V.; Kuciene, R. Associations between Neck </w:t>
      </w:r>
      <w:r w:rsidRPr="00F87A2C">
        <w:rPr>
          <w:rFonts w:ascii="Arial" w:hAnsi="Arial" w:cs="Arial"/>
          <w:b/>
          <w:bCs/>
          <w:color w:val="222222"/>
          <w:shd w:val="clear" w:color="auto" w:fill="FFFFFF"/>
        </w:rPr>
        <w:t>Circumference, Mid-Upper Arm Circumference, Wrist Circumference, and High Blood Pressure among Lithuanian Children and Adolescents: A Cross-Sectional Study. </w:t>
      </w:r>
      <w:r w:rsidRPr="00F87A2C">
        <w:rPr>
          <w:rStyle w:val="Emphasis"/>
          <w:rFonts w:ascii="Arial" w:hAnsi="Arial" w:cs="Arial"/>
          <w:b/>
          <w:bCs/>
          <w:color w:val="222222"/>
          <w:shd w:val="clear" w:color="auto" w:fill="FFFFFF"/>
        </w:rPr>
        <w:t>Nutrients</w:t>
      </w:r>
      <w:r w:rsidRPr="00F87A2C">
        <w:rPr>
          <w:rFonts w:ascii="Arial" w:hAnsi="Arial" w:cs="Arial"/>
          <w:b/>
          <w:bCs/>
          <w:color w:val="222222"/>
          <w:shd w:val="clear" w:color="auto" w:fill="FFFFFF"/>
        </w:rPr>
        <w:t> 2024, </w:t>
      </w:r>
      <w:r w:rsidRPr="00F87A2C">
        <w:rPr>
          <w:rStyle w:val="Emphasis"/>
          <w:rFonts w:ascii="Arial" w:hAnsi="Arial" w:cs="Arial"/>
          <w:b/>
          <w:bCs/>
          <w:color w:val="222222"/>
          <w:shd w:val="clear" w:color="auto" w:fill="FFFFFF"/>
        </w:rPr>
        <w:t>16</w:t>
      </w:r>
      <w:r w:rsidRPr="00F87A2C">
        <w:rPr>
          <w:rFonts w:ascii="Arial" w:hAnsi="Arial" w:cs="Arial"/>
          <w:b/>
          <w:bCs/>
          <w:color w:val="222222"/>
          <w:shd w:val="clear" w:color="auto" w:fill="FFFFFF"/>
        </w:rPr>
        <w:t>, 677. https://doi.org/10.3390/nu16050677</w:t>
      </w:r>
    </w:p>
    <w:p w14:paraId="54F676FF" w14:textId="0D5C2821" w:rsidR="00B73120" w:rsidRPr="00D77534" w:rsidRDefault="002E5849" w:rsidP="00FF258D">
      <w:pPr>
        <w:spacing w:after="0"/>
        <w:rPr>
          <w:rFonts w:ascii="Arial" w:hAnsi="Arial" w:cs="Arial"/>
          <w:b/>
          <w:bCs/>
          <w:color w:val="212121"/>
          <w:sz w:val="24"/>
          <w:szCs w:val="24"/>
          <w:shd w:val="clear" w:color="auto" w:fill="FFFFFF"/>
        </w:rPr>
      </w:pPr>
      <w:r w:rsidRPr="00D77534">
        <w:rPr>
          <w:rFonts w:ascii="Arial" w:hAnsi="Arial" w:cs="Arial"/>
          <w:b/>
          <w:bCs/>
          <w:color w:val="282828"/>
          <w:sz w:val="24"/>
          <w:szCs w:val="24"/>
          <w:shd w:val="clear" w:color="auto" w:fill="F7F7F7"/>
        </w:rPr>
        <w:t>Hansen C, Davison B and Singh GR (2024) Small for gestational age and anthropometric body composition from early childhood to adulthood: the Aboriginal Birth Cohort study. </w:t>
      </w:r>
      <w:r w:rsidRPr="00D77534">
        <w:rPr>
          <w:rFonts w:ascii="Arial" w:hAnsi="Arial" w:cs="Arial"/>
          <w:b/>
          <w:bCs/>
          <w:i/>
          <w:iCs/>
          <w:color w:val="282828"/>
          <w:sz w:val="24"/>
          <w:szCs w:val="24"/>
          <w:shd w:val="clear" w:color="auto" w:fill="F7F7F7"/>
        </w:rPr>
        <w:t>Front. Public Health</w:t>
      </w:r>
      <w:r w:rsidRPr="00D77534">
        <w:rPr>
          <w:rFonts w:ascii="Arial" w:hAnsi="Arial" w:cs="Arial"/>
          <w:b/>
          <w:bCs/>
          <w:color w:val="282828"/>
          <w:sz w:val="24"/>
          <w:szCs w:val="24"/>
          <w:shd w:val="clear" w:color="auto" w:fill="F7F7F7"/>
        </w:rPr>
        <w:t>. 12:1349040. doi: 10.3389/fpubh.2024.1349040</w:t>
      </w:r>
      <w:r w:rsidR="00FF258D">
        <w:rPr>
          <w:rFonts w:ascii="Arial" w:hAnsi="Arial" w:cs="Arial"/>
          <w:b/>
          <w:bCs/>
          <w:color w:val="282828"/>
          <w:sz w:val="24"/>
          <w:szCs w:val="24"/>
          <w:shd w:val="clear" w:color="auto" w:fill="F7F7F7"/>
        </w:rPr>
        <w:t xml:space="preserve"> </w:t>
      </w:r>
      <w:r w:rsidR="00B73120" w:rsidRPr="00D77534">
        <w:rPr>
          <w:rFonts w:ascii="Arial" w:hAnsi="Arial" w:cs="Arial"/>
          <w:b/>
          <w:bCs/>
          <w:color w:val="212121"/>
          <w:sz w:val="24"/>
          <w:szCs w:val="24"/>
          <w:shd w:val="clear" w:color="auto" w:fill="FFFFFF"/>
        </w:rPr>
        <w:t>: 38615018; PMCID: PMC11016207.</w:t>
      </w:r>
    </w:p>
    <w:p w14:paraId="6CA5A78D" w14:textId="77777777" w:rsidR="00B73120" w:rsidRDefault="00B73120" w:rsidP="00B73120">
      <w:pPr>
        <w:rPr>
          <w:rFonts w:ascii="Arial" w:hAnsi="Arial" w:cs="Arial"/>
          <w:b/>
          <w:bCs/>
          <w:color w:val="212121"/>
          <w:shd w:val="clear" w:color="auto" w:fill="FFFFFF"/>
        </w:rPr>
      </w:pPr>
    </w:p>
    <w:p w14:paraId="46AF445A" w14:textId="224FDB88" w:rsidR="00B73120" w:rsidRPr="00210F19" w:rsidRDefault="00B73120" w:rsidP="00B73120">
      <w:pPr>
        <w:rPr>
          <w:rFonts w:ascii="Arial" w:hAnsi="Arial" w:cs="Arial"/>
          <w:b/>
          <w:bCs/>
          <w:shd w:val="clear" w:color="auto" w:fill="FFFFFF"/>
        </w:rPr>
      </w:pPr>
      <w:r w:rsidRPr="00210F19">
        <w:rPr>
          <w:rFonts w:ascii="Arial" w:hAnsi="Arial" w:cs="Arial"/>
          <w:b/>
          <w:bCs/>
          <w:color w:val="212121"/>
          <w:shd w:val="clear" w:color="auto" w:fill="FFFFFF"/>
        </w:rPr>
        <w:t>Vizzuso S, Torto AD, Fiore G, Carugo S, Zuccotti G, Verduci E. Tri-ponderal mass index and left ventricular hypertrophy in a cohort of caucasian children and adolescents with obesity. Ital J Pediatr. 2024 Apr 19;50(1):75. doi: 10.1186/s13052-024-01634-9. PMID: 38637874; PMCID: PMC11027303.</w:t>
      </w:r>
    </w:p>
    <w:sectPr w:rsidR="00B73120" w:rsidRPr="0021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BF9"/>
    <w:multiLevelType w:val="hybridMultilevel"/>
    <w:tmpl w:val="DE9A55C0"/>
    <w:name w:val="Numbered list 2"/>
    <w:lvl w:ilvl="0" w:tplc="0B06638E">
      <w:start w:val="29"/>
      <w:numFmt w:val="decimal"/>
      <w:lvlText w:val="%1."/>
      <w:lvlJc w:val="left"/>
      <w:pPr>
        <w:ind w:left="900" w:firstLine="0"/>
      </w:pPr>
    </w:lvl>
    <w:lvl w:ilvl="1" w:tplc="B6403E3A">
      <w:start w:val="1"/>
      <w:numFmt w:val="decimal"/>
      <w:lvlText w:val="%2."/>
      <w:lvlJc w:val="left"/>
      <w:pPr>
        <w:ind w:left="720" w:firstLine="0"/>
      </w:pPr>
    </w:lvl>
    <w:lvl w:ilvl="2" w:tplc="8F5EA798">
      <w:start w:val="1"/>
      <w:numFmt w:val="decimal"/>
      <w:lvlText w:val="%3."/>
      <w:lvlJc w:val="left"/>
      <w:pPr>
        <w:ind w:left="1080" w:firstLine="0"/>
      </w:pPr>
    </w:lvl>
    <w:lvl w:ilvl="3" w:tplc="21D69A0E">
      <w:start w:val="1"/>
      <w:numFmt w:val="decimal"/>
      <w:lvlText w:val="%4."/>
      <w:lvlJc w:val="left"/>
      <w:pPr>
        <w:ind w:left="1440" w:firstLine="0"/>
      </w:pPr>
    </w:lvl>
    <w:lvl w:ilvl="4" w:tplc="A60CB344">
      <w:start w:val="1"/>
      <w:numFmt w:val="decimal"/>
      <w:lvlText w:val="%5."/>
      <w:lvlJc w:val="left"/>
      <w:pPr>
        <w:ind w:left="1800" w:firstLine="0"/>
      </w:pPr>
    </w:lvl>
    <w:lvl w:ilvl="5" w:tplc="D0D032B4">
      <w:start w:val="1"/>
      <w:numFmt w:val="decimal"/>
      <w:lvlText w:val="%6."/>
      <w:lvlJc w:val="left"/>
      <w:pPr>
        <w:ind w:left="2160" w:firstLine="0"/>
      </w:pPr>
    </w:lvl>
    <w:lvl w:ilvl="6" w:tplc="9B8CD3A4">
      <w:start w:val="1"/>
      <w:numFmt w:val="decimal"/>
      <w:lvlText w:val="%7."/>
      <w:lvlJc w:val="left"/>
      <w:pPr>
        <w:ind w:left="2520" w:firstLine="0"/>
      </w:pPr>
    </w:lvl>
    <w:lvl w:ilvl="7" w:tplc="DF241A3C">
      <w:start w:val="1"/>
      <w:numFmt w:val="decimal"/>
      <w:lvlText w:val="%8."/>
      <w:lvlJc w:val="left"/>
      <w:pPr>
        <w:ind w:left="2880" w:firstLine="0"/>
      </w:pPr>
    </w:lvl>
    <w:lvl w:ilvl="8" w:tplc="DD76AD2E">
      <w:start w:val="1"/>
      <w:numFmt w:val="decimal"/>
      <w:lvlText w:val="%9."/>
      <w:lvlJc w:val="left"/>
      <w:pPr>
        <w:ind w:left="3240" w:firstLine="0"/>
      </w:pPr>
    </w:lvl>
  </w:abstractNum>
  <w:abstractNum w:abstractNumId="1" w15:restartNumberingAfterBreak="0">
    <w:nsid w:val="71B90FFF"/>
    <w:multiLevelType w:val="hybridMultilevel"/>
    <w:tmpl w:val="93B03E08"/>
    <w:name w:val="Numbered list 1"/>
    <w:lvl w:ilvl="0" w:tplc="08DC4426">
      <w:start w:val="1"/>
      <w:numFmt w:val="none"/>
      <w:suff w:val="nothing"/>
      <w:lvlText w:val=""/>
      <w:lvlJc w:val="left"/>
      <w:pPr>
        <w:ind w:left="0" w:firstLine="0"/>
      </w:pPr>
    </w:lvl>
    <w:lvl w:ilvl="1" w:tplc="C2C6C29A">
      <w:start w:val="1"/>
      <w:numFmt w:val="none"/>
      <w:suff w:val="nothing"/>
      <w:lvlText w:val=""/>
      <w:lvlJc w:val="left"/>
      <w:pPr>
        <w:ind w:left="0" w:firstLine="0"/>
      </w:pPr>
    </w:lvl>
    <w:lvl w:ilvl="2" w:tplc="357C6008">
      <w:start w:val="1"/>
      <w:numFmt w:val="none"/>
      <w:suff w:val="nothing"/>
      <w:lvlText w:val=""/>
      <w:lvlJc w:val="left"/>
      <w:pPr>
        <w:ind w:left="0" w:firstLine="0"/>
      </w:pPr>
    </w:lvl>
    <w:lvl w:ilvl="3" w:tplc="978C68BC">
      <w:start w:val="1"/>
      <w:numFmt w:val="none"/>
      <w:suff w:val="nothing"/>
      <w:lvlText w:val=""/>
      <w:lvlJc w:val="left"/>
      <w:pPr>
        <w:ind w:left="0" w:firstLine="0"/>
      </w:pPr>
    </w:lvl>
    <w:lvl w:ilvl="4" w:tplc="580AD55E">
      <w:start w:val="1"/>
      <w:numFmt w:val="none"/>
      <w:suff w:val="nothing"/>
      <w:lvlText w:val=""/>
      <w:lvlJc w:val="left"/>
      <w:pPr>
        <w:ind w:left="0" w:firstLine="0"/>
      </w:pPr>
    </w:lvl>
    <w:lvl w:ilvl="5" w:tplc="302C69B0">
      <w:start w:val="1"/>
      <w:numFmt w:val="none"/>
      <w:suff w:val="nothing"/>
      <w:lvlText w:val=""/>
      <w:lvlJc w:val="left"/>
      <w:pPr>
        <w:ind w:left="0" w:firstLine="0"/>
      </w:pPr>
    </w:lvl>
    <w:lvl w:ilvl="6" w:tplc="26A04DD6">
      <w:start w:val="1"/>
      <w:numFmt w:val="none"/>
      <w:suff w:val="nothing"/>
      <w:lvlText w:val=""/>
      <w:lvlJc w:val="left"/>
      <w:pPr>
        <w:ind w:left="0" w:firstLine="0"/>
      </w:pPr>
    </w:lvl>
    <w:lvl w:ilvl="7" w:tplc="8528B080">
      <w:start w:val="1"/>
      <w:numFmt w:val="none"/>
      <w:suff w:val="nothing"/>
      <w:lvlText w:val=""/>
      <w:lvlJc w:val="left"/>
      <w:pPr>
        <w:ind w:left="0" w:firstLine="0"/>
      </w:pPr>
    </w:lvl>
    <w:lvl w:ilvl="8" w:tplc="A4CCC76A">
      <w:start w:val="1"/>
      <w:numFmt w:val="none"/>
      <w:suff w:val="nothing"/>
      <w:lvlText w:val=""/>
      <w:lvlJc w:val="left"/>
      <w:pPr>
        <w:ind w:left="0" w:firstLine="0"/>
      </w:pPr>
    </w:lvl>
  </w:abstractNum>
  <w:num w:numId="1" w16cid:durableId="80377939">
    <w:abstractNumId w:val="0"/>
  </w:num>
  <w:num w:numId="2" w16cid:durableId="18254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59"/>
    <w:rsid w:val="0000201C"/>
    <w:rsid w:val="00026B13"/>
    <w:rsid w:val="00054645"/>
    <w:rsid w:val="0007139B"/>
    <w:rsid w:val="00097B59"/>
    <w:rsid w:val="000C4093"/>
    <w:rsid w:val="001A2741"/>
    <w:rsid w:val="002E5849"/>
    <w:rsid w:val="003B25D2"/>
    <w:rsid w:val="006718BC"/>
    <w:rsid w:val="007157A8"/>
    <w:rsid w:val="007203AA"/>
    <w:rsid w:val="0072631F"/>
    <w:rsid w:val="008726C0"/>
    <w:rsid w:val="008A741B"/>
    <w:rsid w:val="008D2D42"/>
    <w:rsid w:val="00990852"/>
    <w:rsid w:val="00A302FE"/>
    <w:rsid w:val="00A64274"/>
    <w:rsid w:val="00AD0A70"/>
    <w:rsid w:val="00AE67F4"/>
    <w:rsid w:val="00B73120"/>
    <w:rsid w:val="00BD50AD"/>
    <w:rsid w:val="00C94625"/>
    <w:rsid w:val="00D77534"/>
    <w:rsid w:val="00ED7985"/>
    <w:rsid w:val="00EF0607"/>
    <w:rsid w:val="00EF3A36"/>
    <w:rsid w:val="00FF2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545C"/>
  <w15:chartTrackingRefBased/>
  <w15:docId w15:val="{F19FEA13-61AE-4DEF-93F4-249241D7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AE67F4"/>
    <w:pPr>
      <w:suppressAutoHyphens/>
      <w:spacing w:before="280" w:after="280" w:line="100" w:lineRule="atLeast"/>
      <w:outlineLvl w:val="0"/>
    </w:pPr>
    <w:rPr>
      <w:rFonts w:ascii="Times New Roman" w:eastAsia="Times New Roman" w:hAnsi="Times New Roman" w:cs="Times New Roman"/>
      <w:b/>
      <w:bCs/>
      <w:kern w:val="1"/>
      <w:sz w:val="48"/>
      <w:szCs w:val="4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5849"/>
    <w:rPr>
      <w:i/>
      <w:iCs/>
    </w:rPr>
  </w:style>
  <w:style w:type="character" w:styleId="Hyperlink">
    <w:name w:val="Hyperlink"/>
    <w:basedOn w:val="DefaultParagraphFont"/>
    <w:uiPriority w:val="99"/>
    <w:rsid w:val="008D2D42"/>
    <w:rPr>
      <w:color w:val="0000FF"/>
      <w:u w:val="single"/>
    </w:rPr>
  </w:style>
  <w:style w:type="character" w:customStyle="1" w:styleId="gmail-msohyperlink">
    <w:name w:val="gmail-msohyperlink"/>
    <w:basedOn w:val="DefaultParagraphFont"/>
    <w:rsid w:val="008D2D42"/>
  </w:style>
  <w:style w:type="character" w:customStyle="1" w:styleId="Heading1Char">
    <w:name w:val="Heading 1 Char"/>
    <w:basedOn w:val="DefaultParagraphFont"/>
    <w:link w:val="Heading1"/>
    <w:rsid w:val="00AE67F4"/>
    <w:rPr>
      <w:rFonts w:ascii="Times New Roman" w:eastAsia="Times New Roman" w:hAnsi="Times New Roman" w:cs="Times New Roman"/>
      <w:b/>
      <w:bCs/>
      <w:kern w:val="1"/>
      <w:sz w:val="48"/>
      <w:szCs w:val="48"/>
      <w:lang w:eastAsia="zh-CN"/>
      <w14:ligatures w14:val="none"/>
    </w:rPr>
  </w:style>
  <w:style w:type="paragraph" w:styleId="PlainText">
    <w:name w:val="Plain Text"/>
    <w:basedOn w:val="Normal"/>
    <w:link w:val="PlainTextChar"/>
    <w:qFormat/>
    <w:rsid w:val="00A302FE"/>
    <w:pPr>
      <w:suppressAutoHyphens/>
      <w:spacing w:after="0" w:line="240" w:lineRule="auto"/>
    </w:pPr>
    <w:rPr>
      <w:rFonts w:ascii="Consolas" w:eastAsia="Calibri" w:hAnsi="Consolas" w:cs="Consolas"/>
      <w:kern w:val="1"/>
      <w:sz w:val="21"/>
      <w:szCs w:val="21"/>
      <w:lang w:eastAsia="zh-CN"/>
      <w14:ligatures w14:val="none"/>
    </w:rPr>
  </w:style>
  <w:style w:type="character" w:customStyle="1" w:styleId="PlainTextChar">
    <w:name w:val="Plain Text Char"/>
    <w:basedOn w:val="DefaultParagraphFont"/>
    <w:link w:val="PlainText"/>
    <w:rsid w:val="00A302FE"/>
    <w:rPr>
      <w:rFonts w:ascii="Consolas" w:eastAsia="Calibri" w:hAnsi="Consolas" w:cs="Consolas"/>
      <w:kern w:val="1"/>
      <w:sz w:val="21"/>
      <w:szCs w:val="21"/>
      <w:lang w:eastAsia="zh-CN"/>
      <w14:ligatures w14:val="none"/>
    </w:rPr>
  </w:style>
  <w:style w:type="paragraph" w:customStyle="1" w:styleId="Heading">
    <w:name w:val="Heading"/>
    <w:basedOn w:val="Normal"/>
    <w:next w:val="BodyText"/>
    <w:qFormat/>
    <w:rsid w:val="008726C0"/>
    <w:pPr>
      <w:keepNext/>
      <w:suppressAutoHyphens/>
      <w:spacing w:before="240" w:after="120" w:line="276" w:lineRule="auto"/>
    </w:pPr>
    <w:rPr>
      <w:rFonts w:ascii="Liberation Sans" w:eastAsia="Microsoft YaHei" w:hAnsi="Liberation Sans" w:cs="Mangal"/>
      <w:kern w:val="1"/>
      <w:sz w:val="28"/>
      <w:szCs w:val="28"/>
      <w:lang w:eastAsia="zh-CN" w:bidi="he-IL"/>
      <w14:ligatures w14:val="none"/>
    </w:rPr>
  </w:style>
  <w:style w:type="paragraph" w:styleId="BodyText">
    <w:name w:val="Body Text"/>
    <w:basedOn w:val="Normal"/>
    <w:link w:val="BodyTextChar"/>
    <w:uiPriority w:val="99"/>
    <w:semiHidden/>
    <w:unhideWhenUsed/>
    <w:rsid w:val="008726C0"/>
    <w:pPr>
      <w:spacing w:after="120"/>
    </w:pPr>
  </w:style>
  <w:style w:type="character" w:customStyle="1" w:styleId="BodyTextChar">
    <w:name w:val="Body Text Char"/>
    <w:basedOn w:val="DefaultParagraphFont"/>
    <w:link w:val="BodyText"/>
    <w:uiPriority w:val="99"/>
    <w:semiHidden/>
    <w:rsid w:val="0087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524951">
      <w:bodyDiv w:val="1"/>
      <w:marLeft w:val="0"/>
      <w:marRight w:val="0"/>
      <w:marTop w:val="0"/>
      <w:marBottom w:val="0"/>
      <w:divBdr>
        <w:top w:val="none" w:sz="0" w:space="0" w:color="auto"/>
        <w:left w:val="none" w:sz="0" w:space="0" w:color="auto"/>
        <w:bottom w:val="none" w:sz="0" w:space="0" w:color="auto"/>
        <w:right w:val="none" w:sz="0" w:space="0" w:color="auto"/>
      </w:divBdr>
      <w:divsChild>
        <w:div w:id="9992101">
          <w:marLeft w:val="0"/>
          <w:marRight w:val="0"/>
          <w:marTop w:val="0"/>
          <w:marBottom w:val="0"/>
          <w:divBdr>
            <w:top w:val="none" w:sz="0" w:space="0" w:color="auto"/>
            <w:left w:val="none" w:sz="0" w:space="0" w:color="auto"/>
            <w:bottom w:val="none" w:sz="0" w:space="0" w:color="auto"/>
            <w:right w:val="none" w:sz="0" w:space="0" w:color="auto"/>
          </w:divBdr>
        </w:div>
        <w:div w:id="861239030">
          <w:marLeft w:val="0"/>
          <w:marRight w:val="0"/>
          <w:marTop w:val="0"/>
          <w:marBottom w:val="0"/>
          <w:divBdr>
            <w:top w:val="none" w:sz="0" w:space="0" w:color="auto"/>
            <w:left w:val="none" w:sz="0" w:space="0" w:color="auto"/>
            <w:bottom w:val="none" w:sz="0" w:space="0" w:color="auto"/>
            <w:right w:val="none" w:sz="0" w:space="0" w:color="auto"/>
          </w:divBdr>
        </w:div>
        <w:div w:id="1163279915">
          <w:marLeft w:val="0"/>
          <w:marRight w:val="0"/>
          <w:marTop w:val="0"/>
          <w:marBottom w:val="0"/>
          <w:divBdr>
            <w:top w:val="none" w:sz="0" w:space="0" w:color="auto"/>
            <w:left w:val="none" w:sz="0" w:space="0" w:color="auto"/>
            <w:bottom w:val="none" w:sz="0" w:space="0" w:color="auto"/>
            <w:right w:val="none" w:sz="0" w:space="0" w:color="auto"/>
          </w:divBdr>
          <w:divsChild>
            <w:div w:id="1689257114">
              <w:marLeft w:val="0"/>
              <w:marRight w:val="0"/>
              <w:marTop w:val="0"/>
              <w:marBottom w:val="0"/>
              <w:divBdr>
                <w:top w:val="none" w:sz="0" w:space="0" w:color="auto"/>
                <w:left w:val="none" w:sz="0" w:space="0" w:color="auto"/>
                <w:bottom w:val="none" w:sz="0" w:space="0" w:color="auto"/>
                <w:right w:val="none" w:sz="0" w:space="0" w:color="auto"/>
              </w:divBdr>
            </w:div>
            <w:div w:id="274946688">
              <w:marLeft w:val="0"/>
              <w:marRight w:val="0"/>
              <w:marTop w:val="0"/>
              <w:marBottom w:val="0"/>
              <w:divBdr>
                <w:top w:val="none" w:sz="0" w:space="0" w:color="auto"/>
                <w:left w:val="none" w:sz="0" w:space="0" w:color="auto"/>
                <w:bottom w:val="none" w:sz="0" w:space="0" w:color="auto"/>
                <w:right w:val="none" w:sz="0" w:space="0" w:color="auto"/>
              </w:divBdr>
            </w:div>
            <w:div w:id="75320587">
              <w:marLeft w:val="0"/>
              <w:marRight w:val="0"/>
              <w:marTop w:val="0"/>
              <w:marBottom w:val="0"/>
              <w:divBdr>
                <w:top w:val="none" w:sz="0" w:space="0" w:color="auto"/>
                <w:left w:val="none" w:sz="0" w:space="0" w:color="auto"/>
                <w:bottom w:val="none" w:sz="0" w:space="0" w:color="auto"/>
                <w:right w:val="none" w:sz="0" w:space="0" w:color="auto"/>
              </w:divBdr>
            </w:div>
          </w:divsChild>
        </w:div>
        <w:div w:id="314840107">
          <w:marLeft w:val="0"/>
          <w:marRight w:val="0"/>
          <w:marTop w:val="0"/>
          <w:marBottom w:val="0"/>
          <w:divBdr>
            <w:top w:val="none" w:sz="0" w:space="0" w:color="auto"/>
            <w:left w:val="none" w:sz="0" w:space="0" w:color="auto"/>
            <w:bottom w:val="none" w:sz="0" w:space="0" w:color="auto"/>
            <w:right w:val="none" w:sz="0" w:space="0" w:color="auto"/>
          </w:divBdr>
        </w:div>
        <w:div w:id="1255624414">
          <w:marLeft w:val="0"/>
          <w:marRight w:val="0"/>
          <w:marTop w:val="0"/>
          <w:marBottom w:val="0"/>
          <w:divBdr>
            <w:top w:val="none" w:sz="0" w:space="0" w:color="auto"/>
            <w:left w:val="none" w:sz="0" w:space="0" w:color="auto"/>
            <w:bottom w:val="none" w:sz="0" w:space="0" w:color="auto"/>
            <w:right w:val="none" w:sz="0" w:space="0" w:color="auto"/>
          </w:divBdr>
        </w:div>
        <w:div w:id="1217551900">
          <w:marLeft w:val="0"/>
          <w:marRight w:val="0"/>
          <w:marTop w:val="0"/>
          <w:marBottom w:val="0"/>
          <w:divBdr>
            <w:top w:val="none" w:sz="0" w:space="0" w:color="auto"/>
            <w:left w:val="none" w:sz="0" w:space="0" w:color="auto"/>
            <w:bottom w:val="none" w:sz="0" w:space="0" w:color="auto"/>
            <w:right w:val="none" w:sz="0" w:space="0" w:color="auto"/>
          </w:divBdr>
        </w:div>
        <w:div w:id="167984815">
          <w:marLeft w:val="0"/>
          <w:marRight w:val="0"/>
          <w:marTop w:val="0"/>
          <w:marBottom w:val="0"/>
          <w:divBdr>
            <w:top w:val="none" w:sz="0" w:space="0" w:color="auto"/>
            <w:left w:val="none" w:sz="0" w:space="0" w:color="auto"/>
            <w:bottom w:val="none" w:sz="0" w:space="0" w:color="auto"/>
            <w:right w:val="none" w:sz="0" w:space="0" w:color="auto"/>
          </w:divBdr>
        </w:div>
        <w:div w:id="1602030061">
          <w:marLeft w:val="0"/>
          <w:marRight w:val="0"/>
          <w:marTop w:val="0"/>
          <w:marBottom w:val="0"/>
          <w:divBdr>
            <w:top w:val="none" w:sz="0" w:space="0" w:color="auto"/>
            <w:left w:val="none" w:sz="0" w:space="0" w:color="auto"/>
            <w:bottom w:val="none" w:sz="0" w:space="0" w:color="auto"/>
            <w:right w:val="none" w:sz="0" w:space="0" w:color="auto"/>
          </w:divBdr>
        </w:div>
        <w:div w:id="1643651158">
          <w:marLeft w:val="0"/>
          <w:marRight w:val="0"/>
          <w:marTop w:val="0"/>
          <w:marBottom w:val="0"/>
          <w:divBdr>
            <w:top w:val="none" w:sz="0" w:space="0" w:color="auto"/>
            <w:left w:val="none" w:sz="0" w:space="0" w:color="auto"/>
            <w:bottom w:val="none" w:sz="0" w:space="0" w:color="auto"/>
            <w:right w:val="none" w:sz="0" w:space="0" w:color="auto"/>
          </w:divBdr>
        </w:div>
        <w:div w:id="176773453">
          <w:marLeft w:val="0"/>
          <w:marRight w:val="0"/>
          <w:marTop w:val="0"/>
          <w:marBottom w:val="0"/>
          <w:divBdr>
            <w:top w:val="none" w:sz="0" w:space="0" w:color="auto"/>
            <w:left w:val="none" w:sz="0" w:space="0" w:color="auto"/>
            <w:bottom w:val="none" w:sz="0" w:space="0" w:color="auto"/>
            <w:right w:val="none" w:sz="0" w:space="0" w:color="auto"/>
          </w:divBdr>
        </w:div>
        <w:div w:id="318467148">
          <w:marLeft w:val="0"/>
          <w:marRight w:val="0"/>
          <w:marTop w:val="0"/>
          <w:marBottom w:val="0"/>
          <w:divBdr>
            <w:top w:val="none" w:sz="0" w:space="0" w:color="auto"/>
            <w:left w:val="none" w:sz="0" w:space="0" w:color="auto"/>
            <w:bottom w:val="none" w:sz="0" w:space="0" w:color="auto"/>
            <w:right w:val="none" w:sz="0" w:space="0" w:color="auto"/>
          </w:divBdr>
        </w:div>
        <w:div w:id="959263074">
          <w:marLeft w:val="0"/>
          <w:marRight w:val="0"/>
          <w:marTop w:val="0"/>
          <w:marBottom w:val="0"/>
          <w:divBdr>
            <w:top w:val="none" w:sz="0" w:space="0" w:color="auto"/>
            <w:left w:val="none" w:sz="0" w:space="0" w:color="auto"/>
            <w:bottom w:val="none" w:sz="0" w:space="0" w:color="auto"/>
            <w:right w:val="none" w:sz="0" w:space="0" w:color="auto"/>
          </w:divBdr>
        </w:div>
        <w:div w:id="584801644">
          <w:marLeft w:val="0"/>
          <w:marRight w:val="0"/>
          <w:marTop w:val="0"/>
          <w:marBottom w:val="0"/>
          <w:divBdr>
            <w:top w:val="none" w:sz="0" w:space="0" w:color="auto"/>
            <w:left w:val="none" w:sz="0" w:space="0" w:color="auto"/>
            <w:bottom w:val="none" w:sz="0" w:space="0" w:color="auto"/>
            <w:right w:val="none" w:sz="0" w:space="0" w:color="auto"/>
          </w:divBdr>
        </w:div>
        <w:div w:id="681903814">
          <w:marLeft w:val="0"/>
          <w:marRight w:val="0"/>
          <w:marTop w:val="0"/>
          <w:marBottom w:val="0"/>
          <w:divBdr>
            <w:top w:val="none" w:sz="0" w:space="0" w:color="auto"/>
            <w:left w:val="none" w:sz="0" w:space="0" w:color="auto"/>
            <w:bottom w:val="none" w:sz="0" w:space="0" w:color="auto"/>
            <w:right w:val="none" w:sz="0" w:space="0" w:color="auto"/>
          </w:divBdr>
        </w:div>
        <w:div w:id="187611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200-021-00743-0" TargetMode="External"/><Relationship Id="rId3" Type="http://schemas.openxmlformats.org/officeDocument/2006/relationships/settings" Target="settings.xml"/><Relationship Id="rId7" Type="http://schemas.openxmlformats.org/officeDocument/2006/relationships/hyperlink" Target="https://drjessekrakauer.com/abs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rakauer@ccny.cuny.edu" TargetMode="External"/><Relationship Id="rId5" Type="http://schemas.openxmlformats.org/officeDocument/2006/relationships/hyperlink" Target="mailto:jckrakaue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Krakauer</dc:creator>
  <cp:keywords/>
  <dc:description/>
  <cp:lastModifiedBy>Jesse Krakauer</cp:lastModifiedBy>
  <cp:revision>18</cp:revision>
  <dcterms:created xsi:type="dcterms:W3CDTF">2023-07-02T23:39:00Z</dcterms:created>
  <dcterms:modified xsi:type="dcterms:W3CDTF">2025-04-01T01:14:00Z</dcterms:modified>
</cp:coreProperties>
</file>